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5A0" w:rsidRDefault="005D05A0" w:rsidP="005D05A0">
      <w:pPr>
        <w:pStyle w:val="Default"/>
      </w:pPr>
    </w:p>
    <w:p w:rsidR="001A71BD" w:rsidRDefault="005D05A0" w:rsidP="005D05A0">
      <w:r>
        <w:t xml:space="preserve"> </w:t>
      </w:r>
      <w:proofErr w:type="spellStart"/>
      <w:r>
        <w:rPr>
          <w:b/>
          <w:bCs/>
          <w:sz w:val="20"/>
          <w:szCs w:val="20"/>
        </w:rPr>
        <w:t>Cristalin</w:t>
      </w:r>
      <w:proofErr w:type="spellEnd"/>
      <w:r>
        <w:rPr>
          <w:b/>
          <w:bCs/>
          <w:sz w:val="20"/>
          <w:szCs w:val="20"/>
        </w:rPr>
        <w:t xml:space="preserve">® </w:t>
      </w:r>
      <w:r>
        <w:rPr>
          <w:sz w:val="20"/>
          <w:szCs w:val="20"/>
        </w:rPr>
        <w:t xml:space="preserve">(cloridrato de </w:t>
      </w:r>
      <w:proofErr w:type="spellStart"/>
      <w:r>
        <w:rPr>
          <w:sz w:val="20"/>
          <w:szCs w:val="20"/>
        </w:rPr>
        <w:t>nafazolina</w:t>
      </w:r>
      <w:proofErr w:type="spellEnd"/>
      <w:r>
        <w:rPr>
          <w:sz w:val="20"/>
          <w:szCs w:val="20"/>
        </w:rPr>
        <w:t xml:space="preserve"> + maleato de </w:t>
      </w:r>
      <w:proofErr w:type="spellStart"/>
      <w:r>
        <w:rPr>
          <w:sz w:val="20"/>
          <w:szCs w:val="20"/>
        </w:rPr>
        <w:t>feniramina</w:t>
      </w:r>
      <w:proofErr w:type="spellEnd"/>
      <w:r>
        <w:rPr>
          <w:sz w:val="20"/>
          <w:szCs w:val="20"/>
        </w:rPr>
        <w:t xml:space="preserve">) </w:t>
      </w:r>
      <w:r>
        <w:rPr>
          <w:b/>
          <w:bCs/>
          <w:sz w:val="20"/>
          <w:szCs w:val="20"/>
        </w:rPr>
        <w:t xml:space="preserve">INDICAÇÕES: </w:t>
      </w:r>
      <w:r>
        <w:rPr>
          <w:sz w:val="20"/>
          <w:szCs w:val="20"/>
        </w:rPr>
        <w:t xml:space="preserve">Para alívio temporário da vermelhidão dos olhos causada por poluição, fumaça, pó, pelos de animais, pólen, grama, caspa, bem como dos sintomas leves de coceira. </w:t>
      </w:r>
      <w:r>
        <w:rPr>
          <w:b/>
          <w:bCs/>
          <w:sz w:val="20"/>
          <w:szCs w:val="20"/>
        </w:rPr>
        <w:t xml:space="preserve">CONTRAINDICAÇÕES: </w:t>
      </w:r>
      <w:r>
        <w:rPr>
          <w:sz w:val="20"/>
          <w:szCs w:val="20"/>
        </w:rPr>
        <w:t xml:space="preserve">O produto não deve ser usado por pacientes com hipersensibilidade aos componentes da fórmula, pacientes com ou predispostos a glaucoma de ângulo estreito. </w:t>
      </w:r>
      <w:r>
        <w:rPr>
          <w:b/>
          <w:bCs/>
          <w:sz w:val="20"/>
          <w:szCs w:val="20"/>
        </w:rPr>
        <w:t xml:space="preserve">PRECAUÇÕES E ADVERTÊNCIAS: Gerais: </w:t>
      </w:r>
      <w:r>
        <w:rPr>
          <w:sz w:val="20"/>
          <w:szCs w:val="20"/>
        </w:rPr>
        <w:t xml:space="preserve">o produto não deve ser usado caso lentes de contato estejam nos olhos. Em caso de dor no olho, alterações na visão, vermelhidão ou irritação contínua no olho ou se esta condição piorar ou persistir por mais de 72 horas, interromper o uso. Este produto não deve ser usado em pacientes com doença cardiovascular (incluindo arritmias cardíacas), hipertensão arterial mal controlada, diabetes ou em pacientes com dificuldade de micção devido ao aumento da próstata. Não usar o produto de forma abusiva ou por um período prolongado ininterrupto. </w:t>
      </w:r>
      <w:r>
        <w:rPr>
          <w:b/>
          <w:bCs/>
          <w:sz w:val="20"/>
          <w:szCs w:val="20"/>
        </w:rPr>
        <w:t xml:space="preserve">Crianças: </w:t>
      </w:r>
      <w:r>
        <w:rPr>
          <w:sz w:val="20"/>
          <w:szCs w:val="20"/>
        </w:rPr>
        <w:t xml:space="preserve">Deve-se evitar o uso em crianças com menos de 6 anos de idade. </w:t>
      </w:r>
      <w:r>
        <w:rPr>
          <w:b/>
          <w:bCs/>
          <w:sz w:val="20"/>
          <w:szCs w:val="20"/>
        </w:rPr>
        <w:t xml:space="preserve">Lactantes: </w:t>
      </w:r>
      <w:r>
        <w:rPr>
          <w:sz w:val="20"/>
          <w:szCs w:val="20"/>
        </w:rPr>
        <w:t xml:space="preserve">Deve-se evitar o uso em mulheres lactantes. Produto de uso exclusivo em adultos. O uso em crianças representa risco à saúde. </w:t>
      </w:r>
      <w:r>
        <w:rPr>
          <w:b/>
          <w:bCs/>
          <w:sz w:val="20"/>
          <w:szCs w:val="20"/>
        </w:rPr>
        <w:t xml:space="preserve">INTERAÇÕES MEDICAMENTOSAS: </w:t>
      </w:r>
      <w:r>
        <w:rPr>
          <w:sz w:val="20"/>
          <w:szCs w:val="20"/>
        </w:rPr>
        <w:t xml:space="preserve">Deve ser usado com cautela em pacientes tratados com inibidores da MAO. </w:t>
      </w:r>
      <w:r>
        <w:rPr>
          <w:b/>
          <w:bCs/>
          <w:sz w:val="20"/>
          <w:szCs w:val="20"/>
        </w:rPr>
        <w:t xml:space="preserve">REAÇÕES ADVERSAS: </w:t>
      </w:r>
      <w:r>
        <w:rPr>
          <w:sz w:val="20"/>
          <w:szCs w:val="20"/>
        </w:rPr>
        <w:t xml:space="preserve">As seguintes reações adversas podem ocorrer: dilatação pupilar e aumento da pressão </w:t>
      </w:r>
      <w:proofErr w:type="spellStart"/>
      <w:r>
        <w:rPr>
          <w:sz w:val="20"/>
          <w:szCs w:val="20"/>
        </w:rPr>
        <w:t>intra-ocular</w:t>
      </w:r>
      <w:proofErr w:type="spellEnd"/>
      <w:r>
        <w:rPr>
          <w:sz w:val="20"/>
          <w:szCs w:val="20"/>
        </w:rPr>
        <w:t xml:space="preserve">. A absorção sistêmica pode desencadear hipertensão, arritmias cardíacas e hiperglicemia. Sonolência pode ocorrer em alguns pacientes. </w:t>
      </w:r>
      <w:r>
        <w:rPr>
          <w:b/>
          <w:bCs/>
          <w:sz w:val="20"/>
          <w:szCs w:val="20"/>
        </w:rPr>
        <w:t xml:space="preserve">POSOLOGIA: </w:t>
      </w:r>
      <w:r>
        <w:rPr>
          <w:sz w:val="20"/>
          <w:szCs w:val="20"/>
        </w:rPr>
        <w:t xml:space="preserve">Instilar 1 ou 2 gotas em cada olho a cada 3 ou 4 horas. Diminuir a frequência das instilações de acordo com o grau de alívio dos sintomas. </w:t>
      </w:r>
      <w:r>
        <w:rPr>
          <w:b/>
          <w:bCs/>
          <w:sz w:val="20"/>
          <w:szCs w:val="20"/>
        </w:rPr>
        <w:t xml:space="preserve">SE PERSISTIREM OS SINTOMAS, O MÉDICO DEVERÁ SER CONSULTADO. </w:t>
      </w:r>
      <w:r>
        <w:rPr>
          <w:sz w:val="20"/>
          <w:szCs w:val="20"/>
        </w:rPr>
        <w:t>Registro MS – 1.0497.1282.</w:t>
      </w:r>
      <w:bookmarkStart w:id="0" w:name="_GoBack"/>
      <w:bookmarkEnd w:id="0"/>
    </w:p>
    <w:sectPr w:rsidR="001A71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A0"/>
    <w:rsid w:val="001A71BD"/>
    <w:rsid w:val="005D05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09FAC-9577-489C-A112-39B510F9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D05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 Furtado Witerkoski</dc:creator>
  <cp:keywords/>
  <dc:description/>
  <cp:lastModifiedBy>Guilherme Furtado Witerkoski</cp:lastModifiedBy>
  <cp:revision>1</cp:revision>
  <dcterms:created xsi:type="dcterms:W3CDTF">2016-08-17T21:16:00Z</dcterms:created>
  <dcterms:modified xsi:type="dcterms:W3CDTF">2016-08-17T21:16:00Z</dcterms:modified>
</cp:coreProperties>
</file>